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ADATKEZELÉSI TÁJÉKOZTATÓ</w:t>
      </w:r>
    </w:p>
    <w:p>
      <w:pPr>
        <w:pStyle w:val="Normal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 CITERA Kft. 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 xml:space="preserve">mint adatkezelő elkötelezett az adatvédelem felé, és ennek érdekében kötelezettséget vállal a vonatkozó jogszabályi rendelkezések, valamint az Európai Unió jogi aktusaiban meghatározottak maradéktalan betartására.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CITERA Kft fenntartja a jogot jelen tájékoztató bármikori megváltoztatására.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fentiek alapján a CITERA Kft.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az információs önrendelkezési jogról és az információszabadságról szóló </w:t>
      </w:r>
      <w:r>
        <w:rPr>
          <w:rFonts w:ascii="Verdana" w:hAnsi="Verdana"/>
          <w:b/>
          <w:bCs/>
          <w:sz w:val="18"/>
          <w:szCs w:val="18"/>
        </w:rPr>
        <w:t>2011. évi CXII. törvénnyel</w:t>
      </w:r>
      <w:r>
        <w:rPr>
          <w:rFonts w:ascii="Verdana" w:hAnsi="Verdana"/>
          <w:sz w:val="18"/>
          <w:szCs w:val="18"/>
        </w:rPr>
        <w:t>, (továbbiakban: „</w:t>
      </w:r>
      <w:r>
        <w:rPr>
          <w:rFonts w:ascii="Verdana" w:hAnsi="Verdana"/>
          <w:b/>
          <w:sz w:val="18"/>
          <w:szCs w:val="18"/>
        </w:rPr>
        <w:t>Infotörvény</w:t>
      </w:r>
      <w:r>
        <w:rPr>
          <w:rFonts w:ascii="Verdana" w:hAnsi="Verdana"/>
          <w:sz w:val="18"/>
          <w:szCs w:val="18"/>
        </w:rPr>
        <w:t xml:space="preserve">”) </w:t>
      </w:r>
      <w:r>
        <w:rPr>
          <w:rFonts w:cs="Arial" w:ascii="Verdana" w:hAnsi="Verdana"/>
          <w:sz w:val="18"/>
          <w:szCs w:val="18"/>
        </w:rPr>
        <w:t>valamint a AZ EURÓPAI PARLAMENT ÉS A TANÁCS 2016. április 27-i (EU) 2016/679 RENDELETE - a természetes személyeknek a személyes adatok kezelése tekintetében történő védelméről és az ilyen adatok szabad áramlásáról, valamint a 95/46/EK irányelv hatályon kívül helyezéséről (továbbiakban: „</w:t>
      </w:r>
      <w:r>
        <w:rPr>
          <w:rFonts w:cs="Arial" w:ascii="Verdana" w:hAnsi="Verdana"/>
          <w:b/>
          <w:sz w:val="18"/>
          <w:szCs w:val="18"/>
        </w:rPr>
        <w:t>GDPR”</w:t>
      </w:r>
      <w:r>
        <w:rPr>
          <w:rFonts w:cs="Arial"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az alábbi Adatkezelés Tájékoztatót teszi közzé.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Jogszabályi kötelezettségünknek eleget téve, ezúton a következőkről tájékoztatjuk személyes adatainak kezelésével kapcsolatban:</w:t>
      </w:r>
    </w:p>
    <w:p>
      <w:pPr>
        <w:pStyle w:val="Normal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1. Az Adatkezelő neve és székhelye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Az Adatkezelő neve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CITERA Kft.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Verdana" w:hAnsi="Verdana"/>
          <w:sz w:val="18"/>
          <w:szCs w:val="18"/>
        </w:rPr>
        <w:t>Székhelye: 1076 Budapest, Garay tér 20A/508.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Cégjegyzékszáma: 01-09-900890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Nyilvántartást vezető bíróság/hatóság: Fővárosi Törvényszék Cégbírósága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Adószáma:14370306242</w:t>
        <w:tab/>
      </w:r>
    </w:p>
    <w:p>
      <w:pPr>
        <w:pStyle w:val="Normal"/>
        <w:jc w:val="both"/>
        <w:rPr/>
      </w:pPr>
      <w:r>
        <w:rPr>
          <w:rFonts w:ascii="Verdana" w:hAnsi="Verdana"/>
          <w:sz w:val="18"/>
          <w:szCs w:val="18"/>
        </w:rPr>
        <w:tab/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2. A kezelt adatok fajtái és forrása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z w:val="18"/>
          <w:szCs w:val="18"/>
        </w:rPr>
        <w:t>brunobudapesten</w:t>
      </w:r>
      <w:r>
        <w:rPr>
          <w:rFonts w:ascii="Verdana" w:hAnsi="Verdana"/>
          <w:sz w:val="18"/>
          <w:szCs w:val="18"/>
        </w:rPr>
        <w:t>.hu weboldal használata során az Önre vonatkozó személyes adatok közvetlenül Öntől kerülnek felvételre.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Amennyiben a Weboldal használata során kapcsolatba akar lépni velünk, úgy a személyes kapcsolatfelvétel során az alábbi személyes adatok kezelésére kerülhet sor: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email-cím, 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vezetéknév, utónév,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telefonszám</w:t>
      </w:r>
    </w:p>
    <w:p>
      <w:pPr>
        <w:pStyle w:val="Normal"/>
        <w:ind w:left="36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color w:val="000000"/>
          <w:spacing w:val="1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3. Az</w:t>
      </w:r>
      <w:r>
        <w:rPr>
          <w:rFonts w:ascii="Verdana" w:hAnsi="Verdana"/>
          <w:b/>
          <w:color w:val="000000"/>
          <w:spacing w:val="10"/>
          <w:sz w:val="18"/>
          <w:szCs w:val="18"/>
        </w:rPr>
        <w:t xml:space="preserve"> adatkezelés jogalapja</w:t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Az Ön személyes adatainak fentiek szerinti kezelését az Adatkezelő az Ön, mint érintett </w:t>
      </w:r>
      <w:r>
        <w:rPr>
          <w:rFonts w:ascii="Verdana" w:hAnsi="Verdana"/>
          <w:b/>
          <w:sz w:val="18"/>
          <w:szCs w:val="18"/>
        </w:rPr>
        <w:t>önkéntes, kifejezett hozzájárulása</w:t>
      </w:r>
      <w:r>
        <w:rPr>
          <w:rFonts w:ascii="Verdana" w:hAnsi="Verdana"/>
          <w:sz w:val="18"/>
          <w:szCs w:val="18"/>
        </w:rPr>
        <w:t xml:space="preserve"> alapján kezeli.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4. Az adatkezelés célja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Az Adatkezelő által a 2. pontban felsorolt személyes adatok kezelésének a célja az Önnel való kapcsolattartás. 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72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5. Azok a személyek, akik az adatokat megismerhetik, a személyes adatok továbbítása, adatfeldolgozás: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Az Ön személyes adatai hozzáférhetők és megismerhetők a feladataik ellátásához szükséges mértékben az Adatkezelő </w:t>
      </w:r>
      <w:r>
        <w:rPr>
          <w:rFonts w:ascii="Verdana" w:hAnsi="Verdana"/>
          <w:sz w:val="18"/>
          <w:szCs w:val="18"/>
        </w:rPr>
        <w:t>adminisztrációs jogosultsággal rendelkező alkalmazottai és az Adatkezelő megbízásából eljáró harmadik személyek számára, így különösen az Adatkezelővel szerződéses jogviszonyban álló szervezetek részére.</w:t>
      </w:r>
    </w:p>
    <w:p>
      <w:pPr>
        <w:pStyle w:val="Normal"/>
        <w:ind w:left="72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Adatkezelő tevékenysége során kizárólag az alábbi adatfeldolgozókat veszi igénybe: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</w:r>
    </w:p>
    <w:p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Webműhely Kft.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székhely: 1037 Budapest, Bécsi út 269.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Adatfeldolgozó által a szervezetnél végzett adatfeldolgozó tevékenység: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domainnév szolgáltatás, IT support szolgáltatás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Ágoston Ügyvédi Iroda</w:t>
      </w:r>
    </w:p>
    <w:p>
      <w:pPr>
        <w:pStyle w:val="ListParagraph"/>
        <w:ind w:left="178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székhely: 1111 Budapest, Bartók Béla út 42.</w:t>
      </w:r>
    </w:p>
    <w:p>
      <w:pPr>
        <w:pStyle w:val="Normal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Adatfeldolgozó által a szervezetnél végzett adatfeldolgozói tevékenység:</w:t>
      </w:r>
    </w:p>
    <w:p>
      <w:pPr>
        <w:pStyle w:val="Normal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e-mailekben érkező -elsődlegesen szerzői jogi vonatkozású – megkeresésekre válaszadás, kapcsolattartás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Adatkezelő nyilatkozik, hogy kizárólag olyan adatfeldolgozókat vesz igénybe, amelyek megfelelő garanciákat nyújtanak az adatkezelés GDPR követelményeinek velő megfelelésére és az Ön jogainak védelmét biztosító megfelelő technikai és szervezési intézkedéseknek a végrehajtására.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Tájékoztatjuk, hogy az Adatkezelő minden szükséges </w:t>
      </w:r>
      <w:r>
        <w:rPr>
          <w:rFonts w:ascii="Verdana" w:hAnsi="Verdana"/>
          <w:sz w:val="18"/>
          <w:szCs w:val="18"/>
        </w:rPr>
        <w:t xml:space="preserve">intézkedést megtesz az Ön személyes adatainak védelmében, így különösen a jogosulatlan hozzáférés, megváltoztatás, továbbítás, nyilvánosságra hozatal, törlés vagy megsemmisítés, valamint a véletlen megsemmisülés és sérülés, továbbá az alkalmazott technika megváltozásából fakadó hozzáférhetetlenné válás ellen. </w:t>
      </w:r>
    </w:p>
    <w:p>
      <w:pPr>
        <w:pStyle w:val="Normal"/>
        <w:ind w:left="709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Felhívjuk a figyelmét arra is, hogy személyes adatai jogszabályban meghatározott esetben és módon kiadhatók a bíróság, ügyészség, nyomozó hatóság és szabálysértési hatóság számára is.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Az Adatkezelő az Ön személyes adatait harmadik országba nem továbbítja.</w:t>
      </w:r>
    </w:p>
    <w:p>
      <w:pPr>
        <w:pStyle w:val="Normal"/>
        <w:ind w:left="709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6. Az adatkezelés (tárolás) időtartama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Az Ön személyes adatait az adatkezelés céljának megvalósítása érdekében szükséges ésszerű időtartamig, legfeljebb 6 hónapig kezeljük.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Amennyiben az adatkezelés az Ön hozzájárulásán alapul, akkor az adatait visszavonásig kezeljük. Ebben az esetben Ön bármikor jogosult ezen hozzájárulást. indoklás nélkül visszavonni és adatainak törlését kérni. </w:t>
      </w:r>
    </w:p>
    <w:p>
      <w:pPr>
        <w:pStyle w:val="Normal"/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7. Az Ön adatkezeléssel kapcsolatos jogai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7.1 Önt az alábbi jogok illetik meg kezelt személyes adatai tekintetében: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Hozzáférhet</w:t>
      </w:r>
      <w:r>
        <w:rPr>
          <w:rFonts w:ascii="Verdana" w:hAnsi="Verdana"/>
          <w:color w:val="000000"/>
          <w:sz w:val="18"/>
          <w:szCs w:val="18"/>
        </w:rPr>
        <w:t xml:space="preserve">, tájékoztatást kérhet személyes adatai kezeléséről. </w:t>
      </w:r>
    </w:p>
    <w:p>
      <w:pPr>
        <w:pStyle w:val="ListParagraph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Ennek alapján az Adatkezelő tájékoztatja Önt arról, hogy Önre vonatkozóan konkrétan milyen adatot kezel.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Kérheti személyes adatainak </w:t>
      </w:r>
      <w:r>
        <w:rPr>
          <w:rFonts w:ascii="Verdana" w:hAnsi="Verdana"/>
          <w:b/>
          <w:color w:val="000000"/>
          <w:sz w:val="18"/>
          <w:szCs w:val="18"/>
        </w:rPr>
        <w:t>törlésé</w:t>
      </w:r>
      <w:r>
        <w:rPr>
          <w:rFonts w:ascii="Verdana" w:hAnsi="Verdana"/>
          <w:color w:val="000000"/>
          <w:sz w:val="18"/>
          <w:szCs w:val="18"/>
        </w:rPr>
        <w:t xml:space="preserve">t, ha az adatra már nincs szükség abból a célból, amire kezelték; ha a hozzájárulást visszavonja, és az adatkezelésnek más jogalapja nincs; ha az adatot jogellenesen kezelték vagy ha az adatot a vonatkozó jogszabályi kötelezettség alapján törölni kell. </w:t>
      </w:r>
    </w:p>
    <w:p>
      <w:pPr>
        <w:pStyle w:val="ListParagraph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Kérheti adatkezelésének </w:t>
      </w:r>
      <w:r>
        <w:rPr>
          <w:rFonts w:ascii="Verdana" w:hAnsi="Verdana"/>
          <w:b/>
          <w:color w:val="000000"/>
          <w:sz w:val="18"/>
          <w:szCs w:val="18"/>
        </w:rPr>
        <w:t>korlátozását</w:t>
      </w:r>
      <w:r>
        <w:rPr>
          <w:rFonts w:ascii="Verdana" w:hAnsi="Verdana"/>
          <w:color w:val="000000"/>
          <w:sz w:val="18"/>
          <w:szCs w:val="18"/>
        </w:rPr>
        <w:t>, ha vitatja a személyes adatok pontosságát; ha az adatkezelés jogellenes, és az érintett ellenzi az adatok törlését; ha az Adatkezelőnek már nincs szüksége a személyes adatokra adatkezelés céljából, de az érintett igényli azokat jogi igények előterjesztéséhez, érvényesítéséhez vagy védelméhez.</w:t>
      </w:r>
    </w:p>
    <w:p>
      <w:pPr>
        <w:pStyle w:val="ListParagraph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Adatkezeléssel kapcsolatos jogainak megsértése esetén hatósághoz vagy bírósághoz fordulhat.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8. Jogorvoslatok </w:t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Fenti jogainak megsértése esetén Ön jogosult jogorvoslatért fordulni az Adatkezelőhöz az 1. pontban megjelölt elérhetőségeken.</w:t>
      </w:r>
    </w:p>
    <w:p>
      <w:pPr>
        <w:pStyle w:val="Normal"/>
        <w:ind w:left="709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Az Adatkezelő köteles az ügyet a jogorvoslatra irányuló kérelem benyújtásától számított legrövidebb idő alatt, legfeljebb azonban 30 napon belül kivizsgálni, és közérthető formában, az érintett erre irányuló kérelmére írásban megadni a tájékoztatást.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Fenti jogainak megsértése esetén Ön a Nemzeti Adatvédelmi és Információszabadság Hatósághoz (1125 Budapest Szilágyi Erzsébet fasor 22/c., tel: +36 1-391-1400 fax: +36 1-391-1410 email: ugyfelszolgalat@naih.hu) is fordulhat jogorvoslatért.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Jogsérelem esetén Ön jogosult az (állandó) lakóhelye szerint illetékes bírósághoz fordulni.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8"/>
          <w:szCs w:val="18"/>
        </w:rPr>
        <w:t>2018. május 25.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135" w:footer="709" w:bottom="22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Verdana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2" w:hanging="720"/>
      </w:pPr>
    </w:lvl>
    <w:lvl w:ilvl="2">
      <w:start w:val="1"/>
      <w:numFmt w:val="decimal"/>
      <w:lvlText w:val="%1.%2.%3."/>
      <w:lvlJc w:val="left"/>
      <w:pPr>
        <w:ind w:left="2124" w:hanging="720"/>
      </w:pPr>
    </w:lvl>
    <w:lvl w:ilvl="3">
      <w:start w:val="1"/>
      <w:numFmt w:val="decimal"/>
      <w:lvlText w:val="%1.%2.%3.%4."/>
      <w:lvlJc w:val="left"/>
      <w:pPr>
        <w:ind w:left="3186" w:hanging="1080"/>
      </w:pPr>
    </w:lvl>
    <w:lvl w:ilvl="4">
      <w:start w:val="1"/>
      <w:numFmt w:val="decimal"/>
      <w:lvlText w:val="%1.%2.%3.%4.%5."/>
      <w:lvlJc w:val="left"/>
      <w:pPr>
        <w:ind w:left="4248" w:hanging="1440"/>
      </w:pPr>
    </w:lvl>
    <w:lvl w:ilvl="5">
      <w:start w:val="1"/>
      <w:numFmt w:val="decimal"/>
      <w:lvlText w:val="%1.%2.%3.%4.%5.%6."/>
      <w:lvlJc w:val="left"/>
      <w:pPr>
        <w:ind w:left="4950" w:hanging="1440"/>
      </w:pPr>
    </w:lvl>
    <w:lvl w:ilvl="6">
      <w:start w:val="1"/>
      <w:numFmt w:val="decimal"/>
      <w:lvlText w:val="%1.%2.%3.%4.%5.%6.%7."/>
      <w:lvlJc w:val="left"/>
      <w:pPr>
        <w:ind w:left="6012" w:hanging="1800"/>
      </w:pPr>
    </w:lvl>
    <w:lvl w:ilvl="7">
      <w:start w:val="1"/>
      <w:numFmt w:val="decimal"/>
      <w:lvlText w:val="%1.%2.%3.%4.%5.%6.%7.%8."/>
      <w:lvlJc w:val="left"/>
      <w:pPr>
        <w:ind w:left="7074" w:hanging="2160"/>
      </w:pPr>
    </w:lvl>
    <w:lvl w:ilvl="8">
      <w:start w:val="1"/>
      <w:numFmt w:val="decimal"/>
      <w:lvlText w:val="%1.%2.%3.%4.%5.%6.%7.%8.%9."/>
      <w:lvlJc w:val="left"/>
      <w:pPr>
        <w:ind w:left="7776" w:hanging="21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4"/>
      <w:numFmt w:val="bullet"/>
      <w:lvlText w:val="-"/>
      <w:lvlJc w:val="left"/>
      <w:pPr>
        <w:ind w:left="1788" w:hanging="360"/>
      </w:pPr>
      <w:rPr>
        <w:rFonts w:ascii="Verdana" w:hAnsi="Verdana" w:cs="Verdana" w:hint="default"/>
        <w:sz w:val="18"/>
        <w:rFonts w:cs="Calibri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ne-NP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ne-NP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83b"/>
    <w:pPr>
      <w:widowControl/>
      <w:suppressAutoHyphens w:val="true"/>
      <w:bidi w:val="0"/>
      <w:jc w:val="left"/>
    </w:pPr>
    <w:rPr>
      <w:rFonts w:cs="Calibri" w:ascii="Times New Roman" w:hAnsi="Times New Roman" w:eastAsia="Times New Roman"/>
      <w:color w:val="auto"/>
      <w:sz w:val="24"/>
      <w:szCs w:val="24"/>
      <w:lang w:eastAsia="ar-SA" w:bidi="ar-SA" w:val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</w:rPr>
  </w:style>
  <w:style w:type="character" w:styleId="WW8Num2z0" w:customStyle="1">
    <w:name w:val="WW8Num2z0"/>
    <w:qFormat/>
    <w:rPr>
      <w:color w:val="000000"/>
    </w:rPr>
  </w:style>
  <w:style w:type="character" w:styleId="WW8Num2z1" w:customStyle="1">
    <w:name w:val="WW8Num2z1"/>
    <w:qFormat/>
    <w:rPr>
      <w:rFonts w:ascii="Symbol" w:hAnsi="Symbol"/>
      <w:color w:val="000000"/>
    </w:rPr>
  </w:style>
  <w:style w:type="character" w:styleId="WW8Num3z0" w:customStyle="1">
    <w:name w:val="WW8Num3z0"/>
    <w:qFormat/>
    <w:rPr>
      <w:b/>
    </w:rPr>
  </w:style>
  <w:style w:type="character" w:styleId="WW8Num6z0" w:customStyle="1">
    <w:name w:val="WW8Num6z0"/>
    <w:qFormat/>
    <w:rPr>
      <w:rFonts w:ascii="Verdana" w:hAnsi="Verdana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Symbol" w:hAnsi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/>
    </w:rPr>
  </w:style>
  <w:style w:type="character" w:styleId="WW8Num10z0" w:customStyle="1">
    <w:name w:val="WW8Num10z0"/>
    <w:qFormat/>
    <w:rPr>
      <w:color w:val="000000"/>
    </w:rPr>
  </w:style>
  <w:style w:type="character" w:styleId="WW8Num13z0" w:customStyle="1">
    <w:name w:val="WW8Num13z0"/>
    <w:qFormat/>
    <w:rPr>
      <w:rFonts w:ascii="Symbol" w:hAnsi="Symbol"/>
      <w:sz w:val="20"/>
    </w:rPr>
  </w:style>
  <w:style w:type="character" w:styleId="WW8Num13z1" w:customStyle="1">
    <w:name w:val="WW8Num13z1"/>
    <w:qFormat/>
    <w:rPr>
      <w:rFonts w:ascii="Courier New" w:hAnsi="Courier New" w:cs="Times New Roman"/>
      <w:sz w:val="20"/>
    </w:rPr>
  </w:style>
  <w:style w:type="character" w:styleId="WW8Num13z2" w:customStyle="1">
    <w:name w:val="WW8Num13z2"/>
    <w:qFormat/>
    <w:rPr>
      <w:rFonts w:ascii="Wingdings" w:hAnsi="Wingdings"/>
      <w:sz w:val="20"/>
    </w:rPr>
  </w:style>
  <w:style w:type="character" w:styleId="WW8Num15z0" w:customStyle="1">
    <w:name w:val="WW8Num15z0"/>
    <w:qFormat/>
    <w:rPr>
      <w:color w:val="000000"/>
    </w:rPr>
  </w:style>
  <w:style w:type="character" w:styleId="WW8Num16z0" w:customStyle="1">
    <w:name w:val="WW8Num16z0"/>
    <w:qFormat/>
    <w:rPr>
      <w:rFonts w:ascii="Arial" w:hAnsi="Arial" w:eastAsia="Times New Roman" w:cs="Aria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8z0" w:customStyle="1">
    <w:name w:val="WW8Num18z0"/>
    <w:qFormat/>
    <w:rPr>
      <w:rFonts w:ascii="Calibri" w:hAnsi="Calibri" w:eastAsia="Times New Roman"/>
    </w:rPr>
  </w:style>
  <w:style w:type="character" w:styleId="WW8Num18z1" w:customStyle="1">
    <w:name w:val="WW8Num18z1"/>
    <w:qFormat/>
    <w:rPr>
      <w:rFonts w:ascii="Courier New" w:hAnsi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Bekezdsalapbettpusa1" w:customStyle="1">
    <w:name w:val="Bekezdés alapbetűtípusa1"/>
    <w:qFormat/>
    <w:rPr/>
  </w:style>
  <w:style w:type="character" w:styleId="LfejChar" w:customStyle="1">
    <w:name w:val="Élőfej Char"/>
    <w:link w:val="lfej"/>
    <w:uiPriority w:val="99"/>
    <w:qFormat/>
    <w:rPr>
      <w:rFonts w:cs="Calibri"/>
      <w:sz w:val="24"/>
      <w:szCs w:val="24"/>
      <w:lang w:eastAsia="ar-SA" w:bidi="ar-SA"/>
    </w:rPr>
  </w:style>
  <w:style w:type="character" w:styleId="LlbChar" w:customStyle="1">
    <w:name w:val="Élőláb Char"/>
    <w:link w:val="llb"/>
    <w:uiPriority w:val="99"/>
    <w:qFormat/>
    <w:rPr>
      <w:rFonts w:cs="Calibri"/>
      <w:sz w:val="24"/>
      <w:szCs w:val="24"/>
      <w:lang w:eastAsia="ar-SA" w:bidi="ar-SA"/>
    </w:rPr>
  </w:style>
  <w:style w:type="character" w:styleId="Internethivatkozs">
    <w:name w:val="Internet-hivatkozás"/>
    <w:uiPriority w:val="99"/>
    <w:rsid w:val="0083083b"/>
    <w:rPr>
      <w:color w:val="0000FF"/>
      <w:u w:val="single"/>
    </w:rPr>
  </w:style>
  <w:style w:type="character" w:styleId="BuborkszvegChar" w:customStyle="1">
    <w:name w:val="Buborékszöveg Char"/>
    <w:link w:val="Buborkszveg"/>
    <w:uiPriority w:val="99"/>
    <w:qFormat/>
    <w:rPr>
      <w:rFonts w:ascii="Tahoma" w:hAnsi="Tahoma" w:cs="Tahoma"/>
      <w:sz w:val="16"/>
      <w:szCs w:val="16"/>
      <w:lang w:eastAsia="ar-SA" w:bidi="ar-SA"/>
    </w:rPr>
  </w:style>
  <w:style w:type="character" w:styleId="Jegyzethivatkozs1" w:customStyle="1">
    <w:name w:val="Jegyzethivatkozás1"/>
    <w:qFormat/>
    <w:rPr>
      <w:sz w:val="16"/>
      <w:szCs w:val="16"/>
    </w:rPr>
  </w:style>
  <w:style w:type="character" w:styleId="JegyzetszvegChar" w:customStyle="1">
    <w:name w:val="Jegyzetszöveg Char"/>
    <w:link w:val="Jegyzetszveg"/>
    <w:uiPriority w:val="99"/>
    <w:qFormat/>
    <w:rPr>
      <w:rFonts w:ascii="Times New Roman" w:hAnsi="Times New Roman" w:eastAsia="Times New Roman"/>
      <w:lang w:eastAsia="ar-SA" w:bidi="ar-SA"/>
    </w:rPr>
  </w:style>
  <w:style w:type="character" w:styleId="MegjegyzstrgyaChar" w:customStyle="1">
    <w:name w:val="Megjegyzés tárgya Char"/>
    <w:link w:val="Megjegyzstrgya"/>
    <w:uiPriority w:val="99"/>
    <w:qFormat/>
    <w:rPr>
      <w:rFonts w:cs="Calibri"/>
      <w:b/>
      <w:bCs/>
      <w:lang w:eastAsia="ar-SA" w:bidi="ar-SA"/>
    </w:rPr>
  </w:style>
  <w:style w:type="character" w:styleId="LbjegyzetszvegChar" w:customStyle="1">
    <w:name w:val="Lábjegyzetszöveg Char"/>
    <w:link w:val="Lbjegyzetszveg"/>
    <w:uiPriority w:val="99"/>
    <w:qFormat/>
    <w:rPr>
      <w:rFonts w:cs="Calibri"/>
      <w:lang w:eastAsia="ar-SA" w:bidi="ar-SA"/>
    </w:rPr>
  </w:style>
  <w:style w:type="character" w:styleId="Lbjegyzetkarakterek" w:customStyle="1">
    <w:name w:val="Lábjegyzet-karakterek"/>
    <w:qFormat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83083b"/>
    <w:rPr>
      <w:sz w:val="16"/>
      <w:szCs w:val="16"/>
    </w:rPr>
  </w:style>
  <w:style w:type="character" w:styleId="JegyzetszvegChar1" w:customStyle="1">
    <w:name w:val="Jegyzetszöveg Char1"/>
    <w:basedOn w:val="DefaultParagraphFont"/>
    <w:uiPriority w:val="99"/>
    <w:semiHidden/>
    <w:qFormat/>
    <w:rsid w:val="0083083b"/>
    <w:rPr>
      <w:rFonts w:cs="Calibri"/>
      <w:lang w:eastAsia="ar-SA" w:bidi="ar-SA"/>
    </w:rPr>
  </w:style>
  <w:style w:type="character" w:styleId="Footnotereference">
    <w:name w:val="footnote reference"/>
    <w:uiPriority w:val="99"/>
    <w:semiHidden/>
    <w:unhideWhenUsed/>
    <w:qFormat/>
    <w:rsid w:val="0083083b"/>
    <w:rPr>
      <w:vertAlign w:val="superscript"/>
    </w:rPr>
  </w:style>
  <w:style w:type="character" w:styleId="Appleconvertedspace" w:customStyle="1">
    <w:name w:val="apple-converted-space"/>
    <w:basedOn w:val="DefaultParagraphFont"/>
    <w:qFormat/>
    <w:rsid w:val="009d4bb5"/>
    <w:rPr/>
  </w:style>
  <w:style w:type="character" w:styleId="Feloldatlanmegemlts1" w:customStyle="1">
    <w:name w:val="Feloldatlan megemlítés1"/>
    <w:basedOn w:val="DefaultParagraphFont"/>
    <w:uiPriority w:val="99"/>
    <w:semiHidden/>
    <w:unhideWhenUsed/>
    <w:qFormat/>
    <w:rsid w:val="00ef15ce"/>
    <w:rPr>
      <w:color w:val="808080"/>
      <w:shd w:fill="E6E6E6" w:val="clear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character" w:styleId="ListLabel10">
    <w:name w:val="ListLabel 10"/>
    <w:qFormat/>
    <w:rPr>
      <w:color w:val="000000"/>
    </w:rPr>
  </w:style>
  <w:style w:type="character" w:styleId="ListLabel11">
    <w:name w:val="ListLabel 11"/>
    <w:qFormat/>
    <w:rPr>
      <w:color w:val="000000"/>
    </w:rPr>
  </w:style>
  <w:style w:type="character" w:styleId="ListLabel12">
    <w:name w:val="ListLabel 12"/>
    <w:qFormat/>
    <w:rPr>
      <w:color w:val="000000"/>
    </w:rPr>
  </w:style>
  <w:style w:type="character" w:styleId="ListLabel13">
    <w:name w:val="ListLabel 13"/>
    <w:qFormat/>
    <w:rPr>
      <w:color w:val="000000"/>
    </w:rPr>
  </w:style>
  <w:style w:type="character" w:styleId="ListLabel14">
    <w:name w:val="ListLabel 14"/>
    <w:qFormat/>
    <w:rPr>
      <w:color w:val="000000"/>
    </w:rPr>
  </w:style>
  <w:style w:type="character" w:styleId="ListLabel15">
    <w:name w:val="ListLabel 15"/>
    <w:qFormat/>
    <w:rPr>
      <w:color w:val="000000"/>
    </w:rPr>
  </w:style>
  <w:style w:type="character" w:styleId="ListLabel16">
    <w:name w:val="ListLabel 16"/>
    <w:qFormat/>
    <w:rPr>
      <w:color w:val="000000"/>
    </w:rPr>
  </w:style>
  <w:style w:type="character" w:styleId="ListLabel17">
    <w:name w:val="ListLabel 17"/>
    <w:qFormat/>
    <w:rPr>
      <w:color w:val="000000"/>
    </w:rPr>
  </w:style>
  <w:style w:type="character" w:styleId="ListLabel18">
    <w:name w:val="ListLabel 18"/>
    <w:qFormat/>
    <w:rPr>
      <w:color w:val="000000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rFonts w:cs="Times New Roman"/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color w:val="000000"/>
    </w:rPr>
  </w:style>
  <w:style w:type="character" w:styleId="ListLabel30">
    <w:name w:val="ListLabel 30"/>
    <w:qFormat/>
    <w:rPr>
      <w:color w:val="000000"/>
    </w:rPr>
  </w:style>
  <w:style w:type="character" w:styleId="ListLabel31">
    <w:name w:val="ListLabel 31"/>
    <w:qFormat/>
    <w:rPr>
      <w:color w:val="000000"/>
    </w:rPr>
  </w:style>
  <w:style w:type="character" w:styleId="ListLabel32">
    <w:name w:val="ListLabel 32"/>
    <w:qFormat/>
    <w:rPr>
      <w:color w:val="000000"/>
    </w:rPr>
  </w:style>
  <w:style w:type="character" w:styleId="ListLabel33">
    <w:name w:val="ListLabel 33"/>
    <w:qFormat/>
    <w:rPr>
      <w:color w:val="000000"/>
    </w:rPr>
  </w:style>
  <w:style w:type="character" w:styleId="ListLabel34">
    <w:name w:val="ListLabel 34"/>
    <w:qFormat/>
    <w:rPr>
      <w:color w:val="000000"/>
    </w:rPr>
  </w:style>
  <w:style w:type="character" w:styleId="ListLabel35">
    <w:name w:val="ListLabel 35"/>
    <w:qFormat/>
    <w:rPr>
      <w:color w:val="000000"/>
    </w:rPr>
  </w:style>
  <w:style w:type="character" w:styleId="ListLabel36">
    <w:name w:val="ListLabel 36"/>
    <w:qFormat/>
    <w:rPr>
      <w:color w:val="000000"/>
    </w:rPr>
  </w:style>
  <w:style w:type="character" w:styleId="ListLabel37">
    <w:name w:val="ListLabel 37"/>
    <w:qFormat/>
    <w:rPr>
      <w:color w:val="000000"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color w:val="000000"/>
    </w:rPr>
  </w:style>
  <w:style w:type="character" w:styleId="ListLabel44">
    <w:name w:val="ListLabel 44"/>
    <w:qFormat/>
    <w:rPr>
      <w:color w:val="000000"/>
    </w:rPr>
  </w:style>
  <w:style w:type="character" w:styleId="ListLabel45">
    <w:name w:val="ListLabel 45"/>
    <w:qFormat/>
    <w:rPr>
      <w:color w:val="000000"/>
    </w:rPr>
  </w:style>
  <w:style w:type="character" w:styleId="ListLabel46">
    <w:name w:val="ListLabel 46"/>
    <w:qFormat/>
    <w:rPr>
      <w:color w:val="000000"/>
    </w:rPr>
  </w:style>
  <w:style w:type="character" w:styleId="ListLabel47">
    <w:name w:val="ListLabel 47"/>
    <w:qFormat/>
    <w:rPr>
      <w:color w:val="000000"/>
    </w:rPr>
  </w:style>
  <w:style w:type="character" w:styleId="ListLabel48">
    <w:name w:val="ListLabel 48"/>
    <w:qFormat/>
    <w:rPr>
      <w:color w:val="000000"/>
    </w:rPr>
  </w:style>
  <w:style w:type="character" w:styleId="ListLabel49">
    <w:name w:val="ListLabel 49"/>
    <w:qFormat/>
    <w:rPr>
      <w:color w:val="000000"/>
    </w:rPr>
  </w:style>
  <w:style w:type="character" w:styleId="ListLabel50">
    <w:name w:val="ListLabel 50"/>
    <w:qFormat/>
    <w:rPr>
      <w:color w:val="000000"/>
    </w:rPr>
  </w:style>
  <w:style w:type="character" w:styleId="ListLabel51">
    <w:name w:val="ListLabel 51"/>
    <w:qFormat/>
    <w:rPr>
      <w:color w:val="000000"/>
    </w:rPr>
  </w:style>
  <w:style w:type="character" w:styleId="ListLabel52">
    <w:name w:val="ListLabel 52"/>
    <w:qFormat/>
    <w:rPr>
      <w:rFonts w:eastAsia="Times New Roman" w:cs="Aria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color w:val="000000"/>
    </w:rPr>
  </w:style>
  <w:style w:type="character" w:styleId="ListLabel57">
    <w:name w:val="ListLabel 57"/>
    <w:qFormat/>
    <w:rPr>
      <w:color w:val="000000"/>
    </w:rPr>
  </w:style>
  <w:style w:type="character" w:styleId="ListLabel58">
    <w:name w:val="ListLabel 58"/>
    <w:qFormat/>
    <w:rPr>
      <w:color w:val="000000"/>
    </w:rPr>
  </w:style>
  <w:style w:type="character" w:styleId="ListLabel59">
    <w:name w:val="ListLabel 59"/>
    <w:qFormat/>
    <w:rPr>
      <w:color w:val="000000"/>
    </w:rPr>
  </w:style>
  <w:style w:type="character" w:styleId="ListLabel60">
    <w:name w:val="ListLabel 60"/>
    <w:qFormat/>
    <w:rPr>
      <w:color w:val="000000"/>
    </w:rPr>
  </w:style>
  <w:style w:type="character" w:styleId="ListLabel61">
    <w:name w:val="ListLabel 61"/>
    <w:qFormat/>
    <w:rPr>
      <w:color w:val="000000"/>
    </w:rPr>
  </w:style>
  <w:style w:type="character" w:styleId="ListLabel62">
    <w:name w:val="ListLabel 62"/>
    <w:qFormat/>
    <w:rPr>
      <w:color w:val="000000"/>
    </w:rPr>
  </w:style>
  <w:style w:type="character" w:styleId="ListLabel63">
    <w:name w:val="ListLabel 63"/>
    <w:qFormat/>
    <w:rPr>
      <w:color w:val="000000"/>
    </w:rPr>
  </w:style>
  <w:style w:type="character" w:styleId="ListLabel64">
    <w:name w:val="ListLabel 64"/>
    <w:qFormat/>
    <w:rPr>
      <w:color w:val="000000"/>
    </w:rPr>
  </w:style>
  <w:style w:type="character" w:styleId="ListLabel65">
    <w:name w:val="ListLabel 65"/>
    <w:qFormat/>
    <w:rPr>
      <w:rFonts w:eastAsia="Times New Roman" w:cs="Times New Roman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ascii="Verdana" w:hAnsi="Verdana" w:eastAsia="Times New Roman" w:cs="Calibri"/>
      <w:sz w:val="18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paragraph" w:styleId="Cmsor" w:customStyle="1">
    <w:name w:val="Címsor"/>
    <w:basedOn w:val="Normal"/>
    <w:next w:val="Szvegtrzs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rgymutat" w:customStyle="1">
    <w:name w:val="Tárgymutató"/>
    <w:basedOn w:val="Normal"/>
    <w:qFormat/>
    <w:pPr>
      <w:suppressLineNumbers/>
    </w:pPr>
    <w:rPr>
      <w:rFonts w:cs="Mangal"/>
    </w:rPr>
  </w:style>
  <w:style w:type="paragraph" w:styleId="Listaszerbekezds1" w:customStyle="1">
    <w:name w:val="Listaszerű bekezdés1"/>
    <w:basedOn w:val="Normal"/>
    <w:qFormat/>
    <w:rsid w:val="0083083b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Lfej">
    <w:name w:val="Header"/>
    <w:basedOn w:val="Normal"/>
    <w:link w:val="lfejChar"/>
    <w:uiPriority w:val="99"/>
    <w:rsid w:val="0083083b"/>
    <w:pPr/>
    <w:rPr/>
  </w:style>
  <w:style w:type="paragraph" w:styleId="Llb">
    <w:name w:val="Footer"/>
    <w:basedOn w:val="Normal"/>
    <w:link w:val="llbChar"/>
    <w:uiPriority w:val="99"/>
    <w:rsid w:val="0083083b"/>
    <w:pPr/>
    <w:rPr/>
  </w:style>
  <w:style w:type="paragraph" w:styleId="Listaszerbekezds2" w:customStyle="1">
    <w:name w:val="Listaszerű bekezdés2"/>
    <w:basedOn w:val="Normal"/>
    <w:qFormat/>
    <w:rsid w:val="0083083b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uborkszvegChar"/>
    <w:uiPriority w:val="99"/>
    <w:qFormat/>
    <w:rsid w:val="0083083b"/>
    <w:pPr/>
    <w:rPr>
      <w:rFonts w:ascii="Tahoma" w:hAnsi="Tahoma" w:cs="Tahoma"/>
      <w:sz w:val="16"/>
      <w:szCs w:val="16"/>
    </w:rPr>
  </w:style>
  <w:style w:type="paragraph" w:styleId="Jegyzetszveg1" w:customStyle="1">
    <w:name w:val="Jegyzetszöveg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Jegyzetszveg1"/>
    <w:link w:val="MegjegyzstrgyaChar"/>
    <w:uiPriority w:val="99"/>
    <w:qFormat/>
    <w:rsid w:val="0083083b"/>
    <w:pPr/>
    <w:rPr>
      <w:b/>
      <w:bCs/>
    </w:rPr>
  </w:style>
  <w:style w:type="paragraph" w:styleId="Footnotetext">
    <w:name w:val="footnote text"/>
    <w:basedOn w:val="Normal"/>
    <w:link w:val="LbjegyzetszvegChar"/>
    <w:uiPriority w:val="99"/>
    <w:qFormat/>
    <w:rsid w:val="0083083b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3083b"/>
    <w:pPr>
      <w:ind w:left="708" w:hanging="0"/>
    </w:pPr>
    <w:rPr/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83083b"/>
    <w:pPr>
      <w:suppressAutoHyphens w:val="false"/>
    </w:pPr>
    <w:rPr>
      <w:rFonts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83083b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E342-8575-40AC-AD15-8CFB1E03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LibreOffice/5.2.7.2$Linux_X86_64 LibreOffice_project/20m0$Build-2</Application>
  <Pages>3</Pages>
  <Words>723</Words>
  <Characters>5123</Characters>
  <CharactersWithSpaces>5797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2018-09-04T16:13:00Z</dcterms:created>
  <dc:creator>Locherer Zoltán</dc:creator>
  <dc:description/>
  <dc:language>hu-HU</dc:language>
  <cp:lastModifiedBy>László Nagy</cp:lastModifiedBy>
  <cp:lastPrinted>2018-04-25T15:31:00Z</cp:lastPrinted>
  <dcterms:modified xsi:type="dcterms:W3CDTF">2020-03-02T20:11:40Z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